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Номер договора: 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Дата договора: 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«УТВЕРЖДАЮ»</w:t>
            </w:r>
          </w:p>
        </w:tc>
      </w:tr>
      <w:tr w:rsidR="00B219D8" w:rsidRPr="00000F7B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395 000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395 000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руб.</w:t>
            </w:r>
          </w:p>
        </w:tc>
      </w:tr>
      <w:tr w:rsidR="00B219D8" w:rsidRPr="00000F7B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________________ /______________________ /</w:t>
            </w:r>
          </w:p>
        </w:tc>
      </w:tr>
      <w:tr w:rsidR="00B219D8" w:rsidRPr="00000F7B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«______»____________________ 20___г.</w:t>
            </w:r>
          </w:p>
        </w:tc>
      </w:tr>
      <w:tr w:rsidR="00B219D8" w:rsidRPr="00000F7B"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Стройка: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000F7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Многоквартирный жилой дом по адресу: г. Владимир, ул. Сурикова, д. 10б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000F7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Капитальный ремонт системы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молниезащиты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многоквартирного жилого дома по адресу: г. Владимир, ул. Сурикова, д. 10б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000F7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ЛОКАЛЬНАЯ СМЕТА № 02-01-01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(Локальный сметный расчет)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Капитальный ремонт системы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молниезащиты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многоквартирного жилого дома по адресу: г. Владимир, ул. Сурикова, д. 10б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Основание: </w:t>
            </w:r>
          </w:p>
        </w:tc>
      </w:tr>
      <w:tr w:rsidR="00B219D8" w:rsidRPr="00000F7B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395000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руб.</w:t>
            </w:r>
          </w:p>
        </w:tc>
      </w:tr>
      <w:tr w:rsidR="00B219D8" w:rsidRPr="00000F7B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H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ормативная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264.2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чел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.ч</w:t>
            </w:r>
            <w:proofErr w:type="spellEnd"/>
            <w:proofErr w:type="gramEnd"/>
          </w:p>
        </w:tc>
      </w:tr>
      <w:tr w:rsidR="00B219D8" w:rsidRPr="00000F7B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59164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руб.</w:t>
            </w:r>
          </w:p>
        </w:tc>
      </w:tr>
      <w:tr w:rsidR="00B219D8" w:rsidRPr="00000F7B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Составлена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в базисных ценах на 01.01.2000 и текущих ценах на 2-й квартал 2021 г. по НБ: "ФЕР-2001 в редакции 2020 года с доп. и изм. 5 (приказ Минстроя России № 51/</w:t>
            </w: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пр</w:t>
            </w:r>
            <w:proofErr w:type="spellEnd"/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)".</w:t>
            </w:r>
          </w:p>
        </w:tc>
      </w:tr>
    </w:tbl>
    <w:p w:rsidR="00B219D8" w:rsidRPr="00000F7B" w:rsidRDefault="00B219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295"/>
        <w:gridCol w:w="963"/>
        <w:gridCol w:w="1020"/>
        <w:gridCol w:w="1020"/>
        <w:gridCol w:w="850"/>
        <w:gridCol w:w="1020"/>
        <w:gridCol w:w="963"/>
        <w:gridCol w:w="850"/>
        <w:gridCol w:w="850"/>
        <w:gridCol w:w="1077"/>
        <w:gridCol w:w="1247"/>
        <w:gridCol w:w="850"/>
        <w:gridCol w:w="850"/>
        <w:gridCol w:w="453"/>
      </w:tblGrid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№ поз.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Код норматива,  </w:t>
            </w:r>
          </w:p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Наименование,  </w:t>
            </w:r>
          </w:p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Единица измерения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Базисная стоимость за единицу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Базисная стоимость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Индекс / Цена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Текущая стоимость всего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Затр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 труда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Осн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. 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З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Эксп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Осн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. 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З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Эксп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Осн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. 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З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Эксп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Осн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. 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З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Эксп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Рабочих </w:t>
            </w:r>
          </w:p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ч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.-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час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В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т.ч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 з/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В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т.ч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 з/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Материал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В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т.ч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 з/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В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т.ч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. з/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Механизаторов</w:t>
            </w:r>
          </w:p>
        </w:tc>
      </w:tr>
    </w:tbl>
    <w:p w:rsidR="00B219D8" w:rsidRPr="00000F7B" w:rsidRDefault="00B21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5"/>
          <w:szCs w:val="15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295"/>
        <w:gridCol w:w="963"/>
        <w:gridCol w:w="1020"/>
        <w:gridCol w:w="1020"/>
        <w:gridCol w:w="850"/>
        <w:gridCol w:w="1020"/>
        <w:gridCol w:w="963"/>
        <w:gridCol w:w="850"/>
        <w:gridCol w:w="850"/>
        <w:gridCol w:w="1077"/>
        <w:gridCol w:w="1247"/>
        <w:gridCol w:w="850"/>
        <w:gridCol w:w="850"/>
        <w:gridCol w:w="453"/>
      </w:tblGrid>
      <w:tr w:rsidR="00B219D8" w:rsidRPr="00000F7B">
        <w:trPr>
          <w:cantSplit/>
          <w:tblHeader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ФЕРр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68-13-2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Разборка асфальтобетонных покрытий тротуаров толщиной до 4 см: с помощью молотков отбойных пневматических, 1000 м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2</w:t>
            </w:r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0.009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1 965.05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479.99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1 485.06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17.69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13.37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7.39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99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157.94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30*0.3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5.85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102%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26.64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lastRenderedPageBreak/>
              <w:t>2.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ФЕРр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68-14-1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Разборка бортовых камней: на бетонном основании,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1 478.92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589.77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889.15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29.58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11.80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17.78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7.39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131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94.56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1+1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13.96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102%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7.39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50.94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ФЕР 01-02-059-02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Рытье ям вручную глубиной 1,5 м под электрод заземления с обратной засыпкой, группа грунтов: 2, </w:t>
            </w: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1 980.43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57.93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35 647.66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1 042.66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74 268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21 322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137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1 922.50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34 605.00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52 946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Начисления: Н5= 1.15</w:t>
            </w: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834.13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17 058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=(89*0.9)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=(89*0.9)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354.50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7 249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=(40*0.85)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=(40*0.85)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36 836.29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98 575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ФЕРм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08-02-471-01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Заземлитель вертикальный из угловой стали размером: 50х50х5 мм, 10 </w:t>
            </w: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615.73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87.14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43.02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1 108.31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156.85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77.44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7.78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5 313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3 208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602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17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485.57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4.27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874.03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</w:t>
            </w: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159.60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3 264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83.92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1 716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1 351.83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10 293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08.3.08.02-0070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Сталь угловая равнополочная, марка стали: Ст3пс, шириной полок 50-50 мм,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0.183222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4 840.65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886.91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14 509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4 840.65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886.91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79189.33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14 509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2.7*3.77/1000*(18)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ФЕР 01-02-057-02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Разработка грунта вручную в траншеях глубиной до 2 м без креплений с откосами, группа грунтов: 2, 100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0.01746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1 381.38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1 381.38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24.12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24.12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3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Начисления: Н5= 1.15</w:t>
            </w: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19.30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=(89*0.9)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=(89*0.9)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8.20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=(40*0.85)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=(40*0.85)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51.62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ФЕР 01-02-061-01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Засыпка вручную траншей, пазух котлованов и ям, группа грунтов: 1, 100 м3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0.01746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763.31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763.31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13.33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Начисления: Н5= 1.15</w:t>
            </w: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10.66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=(89*0.9)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=(89*0.9)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4.53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=(40*0.85)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=(40*0.85)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28.53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lastRenderedPageBreak/>
              <w:t>8.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ФЕРм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08-02-472-02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Заземлитель горизонтальный из стали: полосовой сечением 160 мм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2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1 088.05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135.36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58.09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217.61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11.62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7.46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87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3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894.60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5.02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178.92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27.23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14.32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259.15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08.3.07.01-0042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Сталь полосовая: 40х4 мм, кипящая (прим. 40х5),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0.0314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6 200.00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194.68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2 595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6 200.00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194.68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82654.96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2 595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1.57/1000*20.0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ФЕРм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08-02-472-09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Проводник заземляющий открыто по строительным основаниям: из круглой стали диаметром 12 мм (прим. 10 мм),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836.57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173.90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54.28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334.63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69.56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21.71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7.27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1 423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158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608.39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4.27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243.36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2.24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69.13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36.35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440.11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4 283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11.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08.3.04.02-0063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Сталь круглая и квадратная, марки Ст1кп-Ст4кп, Ст1пс-Ст6пс, размер 5-12 мм,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0.02464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6 785.77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167.20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6 785.77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167.20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83120.91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0.616*40/1000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12.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25.2.01.06-0032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Зажим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плашечный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для заземляющего провода (КС-066-2), </w:t>
            </w: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17.00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969.00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3 573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969.00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62.69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3 573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13.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ФЕРм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08-02-472-08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Проводник заземляющий открыто по строительным основаниям: из круглой стали диаметром 8 мм  ОП п.1.8.3-4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Кзт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=1,4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П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ри производстве работ на высоте св. 30 до 60 м,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784.71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230.30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41.60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2 746.49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806.05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145.60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6.82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21 713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16 484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993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86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2.51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1 794.84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2.36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4 236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180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</w:t>
            </w: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185+165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Начисления: Н53= 1.4</w:t>
            </w: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790.39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16 164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415.57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8 499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3 952.45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46 376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08.3.04.02-0053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Сталь круглая (катанка), диаметром 8 мм,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0.13825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7 135.98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986.55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11 601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7 135.98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986.55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83913.08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11 601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0.395*(185+165)/1000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С 01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(прайс 1)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Универсальный фасадный держатель ДФ812-100, </w:t>
            </w: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24.20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1 815.33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10 838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24.20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1 815.33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5.97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10 838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Поправки: М: =170*1.02/1.20/5,97</w:t>
            </w: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lastRenderedPageBreak/>
              <w:t>16.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С 02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(прайс 2)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Держатель проволоки для плоской кровли (165 MBG-8-10) (аналог  ДПП810-60Б), </w:t>
            </w: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31.75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1 936.78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11 563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1 936.78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5.97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11 563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Поправки: М: =223*1.02/1.20/5,97</w:t>
            </w: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17.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ФСЭМ 91.06.06-015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Автогидроподъемники, высота подъема свыше 35 м,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маш</w:t>
            </w:r>
            <w:proofErr w:type="spellEnd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.-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>ч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45.325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477.54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477.54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21 644.50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21 644.50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2346.49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106 355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106 355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14.40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652.68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294.48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13 347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(1.85)*17.5*1.4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587.41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12 012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274.13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42%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5 606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22 506.04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123 973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18.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ФЕРм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08-02-472-10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Проводник заземляющий из медного изолированного провода сечением 25 мм</w:t>
            </w:r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2</w:t>
            </w:r>
            <w:proofErr w:type="gram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открыто по строительным основаниям, 100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493.30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302.30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5.43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49.33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30.23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8.76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3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185.57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0.76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18.56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15.78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29.40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15.46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94.19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1 834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19.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21.2.03.05-0072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Провод силовой установочный с медными жилами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ПуГВ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1х10-450, 1000 м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0.0102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7 991.46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81.51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7 991.46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81.51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95510.71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10*1.02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20.2.10.04-0003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Наконечники кабельные медные луженные ТМЛ-10, 100 </w:t>
            </w:r>
            <w:proofErr w:type="spellStart"/>
            <w:proofErr w:type="gramStart"/>
            <w:r w:rsidRPr="00000F7B">
              <w:rPr>
                <w:rFonts w:ascii="Verdana" w:hAnsi="Verdana" w:cs="Verdana"/>
                <w:sz w:val="15"/>
                <w:szCs w:val="15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231.00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34.65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231.00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1875.6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21.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ФЕР 33-02-013-14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Установка стальных: сварных молниеотводов и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тросостоек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массой до 0,2 т,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0.02332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3 564.34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457.67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2 931.31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83.12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10.67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68.36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7.15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489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175.36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212.91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8.63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20.45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5.5*2.12/1000*(2)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5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Начисления: Н3= 1.25, Н</w:t>
            </w:r>
            <w:proofErr w:type="gramStart"/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4</w:t>
            </w:r>
            <w:proofErr w:type="gramEnd"/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= 1.25, Н5= 1.15</w:t>
            </w: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14.55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=(103*0.9)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=(103*0.9)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7.98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=(60*0.85)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=(60*0.85)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105.64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1 203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22.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ФССЦ 07.4.01.04-0001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 xml:space="preserve">Каркасы башен водонапорных решетчатых, прожекторные и </w:t>
            </w: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молниезащиты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>, каркасы вентиляционных дымовых труб, опоры канатных дорог, высота до 200 м, масса 1 м до 50 кг, т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0.02332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13 466.56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314.04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13 466.56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314.04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93157.49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2 172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Объем: 5.5*2.12/1000*(2)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lastRenderedPageBreak/>
              <w:t>23.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ФЕРп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01-11-011-01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Проверка наличия цепи между заземлителями и заземленными элементами, 100 измерений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165.95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165.95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3.32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3.32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2.46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1.20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36%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6.97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24.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proofErr w:type="spellStart"/>
            <w:r w:rsidRPr="00000F7B">
              <w:rPr>
                <w:rFonts w:ascii="Verdana" w:hAnsi="Verdana" w:cs="Verdana"/>
                <w:sz w:val="15"/>
                <w:szCs w:val="15"/>
              </w:rPr>
              <w:t>ФЕРп</w:t>
            </w:r>
            <w:proofErr w:type="spellEnd"/>
            <w:r w:rsidRPr="00000F7B">
              <w:rPr>
                <w:rFonts w:ascii="Verdana" w:hAnsi="Verdana" w:cs="Verdana"/>
                <w:sz w:val="15"/>
                <w:szCs w:val="15"/>
              </w:rPr>
              <w:t xml:space="preserve"> 01-11-010-01 </w:t>
            </w:r>
          </w:p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Измерение сопротивления растеканию тока: заземлителя, измерение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12.81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12.81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sz w:val="15"/>
                <w:szCs w:val="15"/>
                <w:u w:val="single"/>
              </w:rPr>
              <w:t>1</w:t>
            </w: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9.48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74%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4.61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36%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26.90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  <w:trHeight w:hRule="exact" w:val="10"/>
        </w:trPr>
        <w:tc>
          <w:tcPr>
            <w:tcW w:w="157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.    ИТОГО  ПО  СМЕТЕ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69 319.15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  <w:t>2 212.79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  <w:t>22 000.92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274 185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  <w:t>45 252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  <w:u w:val="single"/>
              </w:rPr>
              <w:t>108 919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45 105.45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680.23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120 014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13 912</w:t>
            </w: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ВСЕГО НАКЛАДНЫЕ 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2 573.56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52 631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ВСЕГО СМЕТНАЯ ПРИБЫЛЬ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1 231.25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25 180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. ВСЕГО  ПО  СМЕТЕ (с НР и СП)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73 123.96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351 996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Оплата основных рабочих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2 212.79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45 252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Оплата механизаторов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680.23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13 912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Стоимость эксплуатации машин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22 000.92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108 919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Сметная стоимость материалов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45 105.45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120 014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Нормативная трудоемкость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309.5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264.2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КОМПЕНСАЦИЯ ЗАТРАТ по уплате НДС стоимости материалов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24 003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КОМПЕНСАЦИЯ ЗАТРАТ по уплате НДС стоимости механизмов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19 001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ВСЕГО КОМПЕНСАЦИЯ ЗАТРАТ по уплате НДС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43 004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. ВСЕГО  ПО  СМЕТЕ по УСН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b/>
                <w:bCs/>
                <w:sz w:val="15"/>
                <w:szCs w:val="15"/>
              </w:rPr>
              <w:t>395 000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</w:tr>
    </w:tbl>
    <w:p w:rsidR="00B219D8" w:rsidRPr="00000F7B" w:rsidRDefault="00B219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B219D8" w:rsidRPr="00000F7B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000F7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sz w:val="15"/>
                <w:szCs w:val="15"/>
              </w:rPr>
              <w:t>Инженер                                          Г.П. Волков</w:t>
            </w:r>
            <w:bookmarkStart w:id="0" w:name="_GoBack"/>
            <w:bookmarkEnd w:id="0"/>
          </w:p>
        </w:tc>
      </w:tr>
      <w:tr w:rsidR="00B219D8" w:rsidRPr="00000F7B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(должность, подпись, Ф.И.О)</w:t>
            </w:r>
          </w:p>
        </w:tc>
      </w:tr>
      <w:tr w:rsidR="00B219D8" w:rsidRPr="00000F7B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5"/>
                <w:szCs w:val="15"/>
              </w:rPr>
            </w:pPr>
            <w:r w:rsidRPr="00000F7B">
              <w:rPr>
                <w:rFonts w:ascii="Verdana" w:hAnsi="Verdana" w:cs="Verdana"/>
                <w:sz w:val="15"/>
                <w:szCs w:val="15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B219D8" w:rsidRPr="00000F7B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B219D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B219D8" w:rsidRPr="00000F7B" w:rsidRDefault="00A853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5"/>
                <w:szCs w:val="15"/>
              </w:rPr>
            </w:pPr>
            <w:r w:rsidRPr="00000F7B">
              <w:rPr>
                <w:rFonts w:ascii="Verdana" w:hAnsi="Verdana" w:cs="Verdana"/>
                <w:i/>
                <w:iCs/>
                <w:sz w:val="15"/>
                <w:szCs w:val="15"/>
              </w:rPr>
              <w:t>(должность, подпись, Ф.И.О)</w:t>
            </w:r>
          </w:p>
        </w:tc>
      </w:tr>
    </w:tbl>
    <w:p w:rsidR="00B219D8" w:rsidRPr="00000F7B" w:rsidRDefault="00B219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</w:p>
    <w:sectPr w:rsidR="00B219D8" w:rsidRPr="00000F7B">
      <w:headerReference w:type="default" r:id="rId7"/>
      <w:footerReference w:type="default" r:id="rId8"/>
      <w:pgSz w:w="16838" w:h="11906" w:orient="landscape"/>
      <w:pgMar w:top="567" w:right="567" w:bottom="567" w:left="567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D8" w:rsidRDefault="002558D8">
      <w:pPr>
        <w:spacing w:after="0" w:line="240" w:lineRule="auto"/>
      </w:pPr>
      <w:r>
        <w:separator/>
      </w:r>
    </w:p>
  </w:endnote>
  <w:endnote w:type="continuationSeparator" w:id="0">
    <w:p w:rsidR="002558D8" w:rsidRDefault="0025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D8" w:rsidRDefault="00A853F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000F7B">
      <w:rPr>
        <w:rFonts w:ascii="Verdana" w:hAnsi="Verdana" w:cs="Verdana"/>
        <w:noProof/>
        <w:sz w:val="20"/>
        <w:szCs w:val="20"/>
        <w:lang w:val="en-US"/>
      </w:rPr>
      <w:t>5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D8" w:rsidRDefault="002558D8">
      <w:pPr>
        <w:spacing w:after="0" w:line="240" w:lineRule="auto"/>
      </w:pPr>
      <w:r>
        <w:separator/>
      </w:r>
    </w:p>
  </w:footnote>
  <w:footnote w:type="continuationSeparator" w:id="0">
    <w:p w:rsidR="002558D8" w:rsidRDefault="0025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B219D8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219D8" w:rsidRDefault="00A853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1-21фер20-5 * 34 * 3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B219D8" w:rsidRDefault="00A853F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(вер.1.3.210423)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219D8" w:rsidRDefault="00A853F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FC"/>
    <w:rsid w:val="00000F7B"/>
    <w:rsid w:val="002558D8"/>
    <w:rsid w:val="00523B63"/>
    <w:rsid w:val="00A853FC"/>
    <w:rsid w:val="00B219D8"/>
    <w:rsid w:val="00B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2021-07-02T10:14:00Z</dcterms:created>
  <dcterms:modified xsi:type="dcterms:W3CDTF">2021-07-02T10:18:00Z</dcterms:modified>
</cp:coreProperties>
</file>